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B19" w:rsidRPr="00FF2B19" w:rsidRDefault="00FF2B19" w:rsidP="00FF2B19">
      <w:pPr>
        <w:rPr>
          <w:rtl/>
          <w:lang w:bidi="ar-LB"/>
        </w:rPr>
      </w:pPr>
    </w:p>
    <w:p w:rsidR="008A711B" w:rsidRPr="00BC242D" w:rsidRDefault="008A711B" w:rsidP="00755FE2">
      <w:pPr>
        <w:pStyle w:val="Heading3"/>
        <w:rPr>
          <w:rtl/>
        </w:rPr>
      </w:pPr>
      <w:bookmarkStart w:id="0" w:name="_Toc82522908"/>
      <w:r w:rsidRPr="00BC242D">
        <w:rPr>
          <w:rtl/>
        </w:rPr>
        <w:t>مفهوم القراءة</w:t>
      </w:r>
      <w:bookmarkEnd w:id="0"/>
    </w:p>
    <w:p w:rsidR="00C21F6E" w:rsidRPr="00C21F6E" w:rsidRDefault="00C21F6E" w:rsidP="00C21F6E">
      <w:pPr>
        <w:spacing w:after="120"/>
        <w:ind w:left="720"/>
        <w:contextualSpacing/>
        <w:jc w:val="both"/>
        <w:rPr>
          <w:rFonts w:ascii="Simplified Arabic" w:eastAsia="Calibri" w:hAnsi="Simplified Arabic" w:cs="Simplified Arabic"/>
          <w:sz w:val="32"/>
          <w:szCs w:val="32"/>
          <w:lang w:val="en-GB" w:eastAsia="en-US" w:bidi="ar-LB"/>
        </w:rPr>
      </w:pP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757"/>
        <w:gridCol w:w="3819"/>
      </w:tblGrid>
      <w:tr w:rsidR="00C21F6E" w:rsidTr="00C21F6E">
        <w:tc>
          <w:tcPr>
            <w:tcW w:w="4148" w:type="dxa"/>
          </w:tcPr>
          <w:p w:rsidR="00C21F6E" w:rsidRDefault="00C21F6E" w:rsidP="00C21F6E">
            <w:pPr>
              <w:spacing w:after="120"/>
              <w:contextualSpacing/>
              <w:jc w:val="both"/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</w:pPr>
            <w:r w:rsidRPr="009A42A1"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rtl/>
                <w:lang w:val="en-GB" w:eastAsia="en-US" w:bidi="ar-LB"/>
              </w:rPr>
              <w:t>لغةً</w:t>
            </w:r>
          </w:p>
        </w:tc>
        <w:tc>
          <w:tcPr>
            <w:tcW w:w="4148" w:type="dxa"/>
          </w:tcPr>
          <w:p w:rsidR="00C21F6E" w:rsidRDefault="00C21F6E" w:rsidP="00C21F6E">
            <w:pPr>
              <w:spacing w:after="120"/>
              <w:contextualSpacing/>
              <w:jc w:val="both"/>
              <w:rPr>
                <w:rFonts w:ascii="Simplified Arabic" w:eastAsia="Calibri" w:hAnsi="Simplified Arabic" w:cs="Simplified Arabic"/>
                <w:sz w:val="32"/>
                <w:szCs w:val="32"/>
                <w:rtl/>
                <w:lang w:val="en-GB" w:eastAsia="en-US" w:bidi="ar-LB"/>
              </w:rPr>
            </w:pPr>
            <w:r w:rsidRPr="00AD7467">
              <w:rPr>
                <w:rFonts w:ascii="Simplified Arabic" w:eastAsia="Calibri" w:hAnsi="Simplified Arabic" w:cs="Simplified Arabic"/>
                <w:b/>
                <w:bCs/>
                <w:sz w:val="32"/>
                <w:szCs w:val="32"/>
                <w:rtl/>
                <w:lang w:val="en-GB" w:eastAsia="en-US" w:bidi="ar-LB"/>
              </w:rPr>
              <w:t>اصطلاحًا</w:t>
            </w:r>
          </w:p>
        </w:tc>
      </w:tr>
    </w:tbl>
    <w:p w:rsidR="00C21F6E" w:rsidRPr="00C21F6E" w:rsidRDefault="00C21F6E" w:rsidP="00C21F6E">
      <w:pPr>
        <w:spacing w:after="120"/>
        <w:ind w:left="720"/>
        <w:contextualSpacing/>
        <w:jc w:val="both"/>
        <w:rPr>
          <w:rFonts w:ascii="Simplified Arabic" w:eastAsia="Calibri" w:hAnsi="Simplified Arabic" w:cs="Simplified Arabic"/>
          <w:sz w:val="32"/>
          <w:szCs w:val="32"/>
          <w:lang w:val="en-GB" w:eastAsia="en-US" w:bidi="ar-LB"/>
        </w:rPr>
      </w:pPr>
    </w:p>
    <w:p w:rsidR="00AD7467" w:rsidRDefault="008A711B" w:rsidP="00C21F6E">
      <w:pPr>
        <w:spacing w:after="120"/>
        <w:ind w:left="720"/>
        <w:contextualSpacing/>
        <w:jc w:val="both"/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</w:pPr>
      <w:r w:rsidRPr="009A42A1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>قَرَأْتُ الشيءَ قُرْآناً: جَمَعْتُه وضَمَمْتُ بعضَه إلى بعض.</w:t>
      </w:r>
      <w:r w:rsidRPr="009A42A1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 xml:space="preserve"> والقراءة </w:t>
      </w:r>
      <w:r w:rsidRPr="009A42A1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>ضمُّ الحروفِ والكلماتِ بعضَها إلى بعضٍ في التّرتيلِ</w:t>
      </w:r>
      <w:r w:rsidRPr="009A42A1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>، وتقرّأت تفهمت</w:t>
      </w:r>
      <w:r w:rsidRPr="009A42A1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>.</w:t>
      </w:r>
    </w:p>
    <w:p w:rsidR="00C21F6E" w:rsidRDefault="00C21F6E" w:rsidP="00C21F6E">
      <w:pPr>
        <w:spacing w:after="120"/>
        <w:ind w:left="720"/>
        <w:contextualSpacing/>
        <w:jc w:val="both"/>
        <w:rPr>
          <w:rFonts w:ascii="Simplified Arabic" w:eastAsia="Calibri" w:hAnsi="Simplified Arabic" w:cs="Simplified Arabic"/>
          <w:sz w:val="32"/>
          <w:szCs w:val="32"/>
          <w:lang w:val="en-GB" w:eastAsia="en-US" w:bidi="ar-LB"/>
        </w:rPr>
      </w:pPr>
      <w:r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>.............</w:t>
      </w:r>
    </w:p>
    <w:p w:rsidR="008A711B" w:rsidRPr="00AD7467" w:rsidRDefault="008A711B" w:rsidP="00C21F6E">
      <w:pPr>
        <w:spacing w:after="120"/>
        <w:ind w:left="720"/>
        <w:contextualSpacing/>
        <w:jc w:val="both"/>
        <w:rPr>
          <w:rFonts w:ascii="Simplified Arabic" w:eastAsia="Calibri" w:hAnsi="Simplified Arabic" w:cs="Simplified Arabic"/>
          <w:sz w:val="32"/>
          <w:szCs w:val="32"/>
          <w:lang w:val="en-GB" w:eastAsia="en-US" w:bidi="ar-LB"/>
        </w:rPr>
      </w:pPr>
      <w:r w:rsidRPr="00AD7467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>القراءةُ</w:t>
      </w:r>
      <w:r w:rsidRPr="00AD7467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 xml:space="preserve"> </w:t>
      </w:r>
      <w:r w:rsidRPr="00AD7467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>هي عمليّةٌ عقليّةٌ</w:t>
      </w:r>
      <w:r w:rsidRPr="00AD7467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 xml:space="preserve"> تعني</w:t>
      </w:r>
      <w:r w:rsidRPr="00AD7467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 xml:space="preserve"> تفسيرَ رموزِ </w:t>
      </w:r>
      <w:r w:rsidRPr="00AD7467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>الكتابة و</w:t>
      </w:r>
      <w:r w:rsidRPr="00AD7467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>رسومِ</w:t>
      </w:r>
      <w:r w:rsidRPr="00AD7467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 xml:space="preserve">ها </w:t>
      </w:r>
      <w:r w:rsidRPr="00AD7467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>التي يتلقّاها القارئُ عن طريقِ عينيهِ أو</w:t>
      </w:r>
      <w:r w:rsidR="00DC5B7B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 xml:space="preserve"> </w:t>
      </w:r>
      <w:r w:rsidRPr="00AD7467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 xml:space="preserve">عن طريقِ اللمسِ، </w:t>
      </w:r>
      <w:r w:rsidRPr="00AD7467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>و</w:t>
      </w:r>
      <w:r w:rsidRPr="00AD7467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 xml:space="preserve">إدراك القارئ </w:t>
      </w:r>
      <w:r w:rsidRPr="00AD7467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>للنصّ</w:t>
      </w:r>
      <w:r w:rsidRPr="00AD7467">
        <w:rPr>
          <w:rFonts w:ascii="Simplified Arabic" w:eastAsia="Calibri" w:hAnsi="Simplified Arabic" w:cs="Simplified Arabic"/>
          <w:sz w:val="32"/>
          <w:szCs w:val="32"/>
          <w:rtl/>
          <w:lang w:val="en-GB" w:eastAsia="en-US" w:bidi="ar-LB"/>
        </w:rPr>
        <w:t xml:space="preserve"> المكتوب وفهمه واستيعاب محتوياته</w:t>
      </w:r>
      <w:r w:rsidRPr="00AD7467">
        <w:rPr>
          <w:rFonts w:ascii="Simplified Arabic" w:eastAsia="Calibri" w:hAnsi="Simplified Arabic" w:cs="Simplified Arabic" w:hint="cs"/>
          <w:sz w:val="32"/>
          <w:szCs w:val="32"/>
          <w:rtl/>
          <w:lang w:val="en-GB" w:eastAsia="en-US" w:bidi="ar-LB"/>
        </w:rPr>
        <w:t>.</w:t>
      </w:r>
    </w:p>
    <w:p w:rsidR="008A711B" w:rsidRPr="009A42A1" w:rsidRDefault="008A711B" w:rsidP="00755FE2">
      <w:pPr>
        <w:pStyle w:val="Heading3"/>
        <w:rPr>
          <w:rtl/>
        </w:rPr>
      </w:pPr>
      <w:bookmarkStart w:id="1" w:name="_Toc82522909"/>
      <w:r w:rsidRPr="009A42A1">
        <w:rPr>
          <w:rtl/>
        </w:rPr>
        <w:t>أهميّة القراءة</w:t>
      </w:r>
      <w:bookmarkEnd w:id="1"/>
    </w:p>
    <w:p w:rsidR="008A711B" w:rsidRPr="00E15AAD" w:rsidRDefault="008A711B" w:rsidP="00DC5B7B">
      <w:pPr>
        <w:tabs>
          <w:tab w:val="left" w:leader="dot" w:pos="9785"/>
        </w:tabs>
        <w:spacing w:after="12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DC5B7B">
        <w:rPr>
          <w:rFonts w:ascii="Simplified Arabic" w:hAnsi="Simplified Arabic" w:cs="Simplified Arabic" w:hint="cs"/>
          <w:b/>
          <w:bCs/>
          <w:sz w:val="32"/>
          <w:szCs w:val="32"/>
          <w:highlight w:val="yellow"/>
          <w:rtl/>
        </w:rPr>
        <w:t>عصف ذهنيّ</w:t>
      </w:r>
    </w:p>
    <w:p w:rsidR="008A711B" w:rsidRPr="009A42A1" w:rsidRDefault="008A711B" w:rsidP="00DC5B7B">
      <w:pPr>
        <w:tabs>
          <w:tab w:val="left" w:leader="dot" w:pos="9785"/>
        </w:tabs>
        <w:spacing w:after="12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15AAD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لماذا نقرأ؟ و</w:t>
      </w:r>
      <w:r w:rsidRPr="00E15AAD">
        <w:rPr>
          <w:rFonts w:ascii="Simplified Arabic" w:hAnsi="Simplified Arabic" w:cs="Simplified Arabic"/>
          <w:b/>
          <w:bCs/>
          <w:sz w:val="32"/>
          <w:szCs w:val="32"/>
          <w:rtl/>
        </w:rPr>
        <w:t>ما الذي تقدّمه القراءة للفرد والمجتمع؟</w:t>
      </w:r>
    </w:p>
    <w:p w:rsidR="00155FBE" w:rsidRPr="009A42A1" w:rsidRDefault="00155FBE" w:rsidP="00755FE2">
      <w:pPr>
        <w:pStyle w:val="Heading3"/>
        <w:rPr>
          <w:rtl/>
        </w:rPr>
      </w:pPr>
      <w:r w:rsidRPr="009A42A1">
        <w:rPr>
          <w:rtl/>
        </w:rPr>
        <w:t>أهميّة القراءة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783"/>
        <w:gridCol w:w="3793"/>
      </w:tblGrid>
      <w:tr w:rsidR="00C21F6E" w:rsidTr="00C21F6E">
        <w:tc>
          <w:tcPr>
            <w:tcW w:w="4148" w:type="dxa"/>
          </w:tcPr>
          <w:p w:rsidR="00C21F6E" w:rsidRPr="00C21F6E" w:rsidRDefault="00C21F6E" w:rsidP="00C21F6E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C21F6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على مستوى الفردِ</w:t>
            </w:r>
          </w:p>
        </w:tc>
        <w:tc>
          <w:tcPr>
            <w:tcW w:w="4148" w:type="dxa"/>
          </w:tcPr>
          <w:p w:rsidR="00C21F6E" w:rsidRPr="00C21F6E" w:rsidRDefault="00C21F6E" w:rsidP="00C21F6E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</w:pPr>
            <w:r w:rsidRPr="00C21F6E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LB"/>
              </w:rPr>
              <w:t>على مستوى المجتمع</w:t>
            </w:r>
          </w:p>
        </w:tc>
      </w:tr>
    </w:tbl>
    <w:p w:rsidR="000A593B" w:rsidRPr="00C21F6E" w:rsidRDefault="000A593B" w:rsidP="00C21F6E">
      <w:p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</w:p>
    <w:p w:rsidR="008A711B" w:rsidRPr="009A42A1" w:rsidRDefault="008A711B" w:rsidP="008A711B">
      <w:pPr>
        <w:numPr>
          <w:ilvl w:val="0"/>
          <w:numId w:val="2"/>
        </w:num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أداةٌ رئيسةٌ للفردِ يتعلّمُ بها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، ويبني بهَا ثقافتَهُ ومعرفتَهُ، ويرفد بها مهاراته في مجالات التحدّث والكتابة والمناقشة. </w:t>
      </w:r>
    </w:p>
    <w:p w:rsidR="008A711B" w:rsidRPr="009A42A1" w:rsidRDefault="008A711B" w:rsidP="008A711B">
      <w:pPr>
        <w:numPr>
          <w:ilvl w:val="0"/>
          <w:numId w:val="2"/>
        </w:num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أساسٌ لبناءِ شخصيّةِ الإنسانِ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؛ حيث ت</w:t>
      </w:r>
      <w:r w:rsidR="00755FE2">
        <w:rPr>
          <w:rFonts w:ascii="Simplified Arabic" w:hAnsi="Simplified Arabic" w:cs="Simplified Arabic" w:hint="cs"/>
          <w:sz w:val="32"/>
          <w:szCs w:val="32"/>
          <w:rtl/>
          <w:lang w:bidi="ar-LB"/>
        </w:rPr>
        <w:t>ُ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كوّ</w:t>
      </w:r>
      <w:r w:rsidR="00755FE2">
        <w:rPr>
          <w:rFonts w:ascii="Simplified Arabic" w:hAnsi="Simplified Arabic" w:cs="Simplified Arabic" w:hint="cs"/>
          <w:sz w:val="32"/>
          <w:szCs w:val="32"/>
          <w:rtl/>
          <w:lang w:bidi="ar-LB"/>
        </w:rPr>
        <w:t>ِ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ن تفكيره، وت</w:t>
      </w:r>
      <w:r w:rsidR="00755FE2">
        <w:rPr>
          <w:rFonts w:ascii="Simplified Arabic" w:hAnsi="Simplified Arabic" w:cs="Simplified Arabic" w:hint="cs"/>
          <w:sz w:val="32"/>
          <w:szCs w:val="32"/>
          <w:rtl/>
          <w:lang w:bidi="ar-LB"/>
        </w:rPr>
        <w:t>ُ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عدّ</w:t>
      </w:r>
      <w:r w:rsidR="00755FE2">
        <w:rPr>
          <w:rFonts w:ascii="Simplified Arabic" w:hAnsi="Simplified Arabic" w:cs="Simplified Arabic" w:hint="cs"/>
          <w:sz w:val="32"/>
          <w:szCs w:val="32"/>
          <w:rtl/>
          <w:lang w:bidi="ar-LB"/>
        </w:rPr>
        <w:t>ِ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ل اتجاهاته وت</w:t>
      </w:r>
      <w:r w:rsidR="00755FE2">
        <w:rPr>
          <w:rFonts w:ascii="Simplified Arabic" w:hAnsi="Simplified Arabic" w:cs="Simplified Arabic" w:hint="cs"/>
          <w:sz w:val="32"/>
          <w:szCs w:val="32"/>
          <w:rtl/>
          <w:lang w:bidi="ar-LB"/>
        </w:rPr>
        <w:t>ُ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غذّ</w:t>
      </w:r>
      <w:r w:rsidR="00755FE2">
        <w:rPr>
          <w:rFonts w:ascii="Simplified Arabic" w:hAnsi="Simplified Arabic" w:cs="Simplified Arabic" w:hint="cs"/>
          <w:sz w:val="32"/>
          <w:szCs w:val="32"/>
          <w:rtl/>
          <w:lang w:bidi="ar-LB"/>
        </w:rPr>
        <w:t>ِ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ي عقله.</w:t>
      </w:r>
    </w:p>
    <w:p w:rsidR="008A711B" w:rsidRDefault="008A711B" w:rsidP="008A711B">
      <w:pPr>
        <w:numPr>
          <w:ilvl w:val="0"/>
          <w:numId w:val="2"/>
        </w:num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وسيلةٌ تربطُ فكرَ الإنسانِ بالإنسانِ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؛ فَيَطَّلعُ الفردُ على أفكارِ الآخر</w:t>
      </w:r>
      <w:r w:rsidR="00755FE2">
        <w:rPr>
          <w:rFonts w:ascii="Simplified Arabic" w:hAnsi="Simplified Arabic" w:cs="Simplified Arabic"/>
          <w:sz w:val="32"/>
          <w:szCs w:val="32"/>
          <w:rtl/>
          <w:lang w:bidi="ar-LB"/>
        </w:rPr>
        <w:t>ين، مهما اختلفَ الزمانُ والمكان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.</w:t>
      </w:r>
    </w:p>
    <w:p w:rsidR="00C21F6E" w:rsidRDefault="00C21F6E" w:rsidP="00C21F6E">
      <w:pPr>
        <w:spacing w:after="120"/>
        <w:ind w:left="36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>....................</w:t>
      </w:r>
    </w:p>
    <w:p w:rsidR="000A593B" w:rsidRPr="009A42A1" w:rsidRDefault="000A593B" w:rsidP="000A593B">
      <w:pPr>
        <w:spacing w:after="120"/>
        <w:ind w:left="7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</w:p>
    <w:p w:rsidR="008A711B" w:rsidRPr="009A42A1" w:rsidRDefault="008A711B" w:rsidP="008A711B">
      <w:pPr>
        <w:numPr>
          <w:ilvl w:val="0"/>
          <w:numId w:val="4"/>
        </w:num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lastRenderedPageBreak/>
        <w:t>يستفيد كلُّ مجتمعٍ عن طريقِ القراءةِ ممّا لدى غيرهِ من المجتمعاتِ من</w:t>
      </w:r>
      <w:r w:rsidRPr="009A42A1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 xml:space="preserve"> </w:t>
      </w:r>
      <w:r w:rsidRPr="009A42A1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  <w:lang w:bidi="ar-LB"/>
        </w:rPr>
        <w:t>حضارةٍ وثقافةٍ وفكر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.</w:t>
      </w:r>
    </w:p>
    <w:p w:rsidR="008A711B" w:rsidRPr="00E15AAD" w:rsidRDefault="008A711B" w:rsidP="008A711B">
      <w:pPr>
        <w:numPr>
          <w:ilvl w:val="0"/>
          <w:numId w:val="4"/>
        </w:num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E15AAD">
        <w:rPr>
          <w:rFonts w:ascii="Simplified Arabic" w:hAnsi="Simplified Arabic" w:cs="Simplified Arabic"/>
          <w:sz w:val="32"/>
          <w:szCs w:val="32"/>
          <w:rtl/>
          <w:lang w:bidi="ar-LB"/>
        </w:rPr>
        <w:t>تربطُ القراءةُ المجتمعَ بتراثِ أمّتِه؛ فيحصّل</w:t>
      </w:r>
      <w:r w:rsidRPr="00E15AAD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 xml:space="preserve"> </w:t>
      </w:r>
      <w:r w:rsidRPr="00E15AAD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  <w:lang w:bidi="ar-LB"/>
        </w:rPr>
        <w:t>المناعة الضروريّة</w:t>
      </w:r>
      <w:r w:rsidRPr="00E15AAD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 xml:space="preserve"> </w:t>
      </w:r>
      <w:r w:rsidRPr="00E15AAD">
        <w:rPr>
          <w:rFonts w:ascii="Simplified Arabic" w:hAnsi="Simplified Arabic" w:cs="Simplified Arabic"/>
          <w:sz w:val="32"/>
          <w:szCs w:val="32"/>
          <w:rtl/>
          <w:lang w:bidi="ar-LB"/>
        </w:rPr>
        <w:t>أمام الثقافات الخاطئة</w:t>
      </w:r>
      <w:r>
        <w:rPr>
          <w:rFonts w:ascii="Simplified Arabic" w:hAnsi="Simplified Arabic" w:cs="Simplified Arabic" w:hint="cs"/>
          <w:b/>
          <w:bCs/>
          <w:color w:val="FF0000"/>
          <w:sz w:val="32"/>
          <w:szCs w:val="32"/>
          <w:rtl/>
          <w:lang w:bidi="ar-LB"/>
        </w:rPr>
        <w:t>.</w:t>
      </w:r>
    </w:p>
    <w:p w:rsidR="008A711B" w:rsidRPr="00E15AAD" w:rsidRDefault="008A711B" w:rsidP="008A711B">
      <w:pPr>
        <w:numPr>
          <w:ilvl w:val="0"/>
          <w:numId w:val="4"/>
        </w:num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E15AAD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  <w:lang w:bidi="ar-LB"/>
        </w:rPr>
        <w:t>ينهضُ المجتمعُ</w:t>
      </w:r>
      <w:r w:rsidRPr="00E15AAD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بالإنسانِ القارئِ؛ فالقراءةُ مهمّةٌ اجتماعيّةٌ كي يعرفَ كلُّ فردٍ مجرياتِ الحياةِ من حولِه، ويُشارك في بناءِ مجتمعهِ وتقدُّمِه، ورفعِ مستواه.</w:t>
      </w:r>
    </w:p>
    <w:p w:rsidR="008A711B" w:rsidRPr="009A42A1" w:rsidRDefault="008A711B" w:rsidP="00755FE2">
      <w:pPr>
        <w:pStyle w:val="Heading3"/>
        <w:rPr>
          <w:rtl/>
        </w:rPr>
      </w:pPr>
      <w:bookmarkStart w:id="2" w:name="_Toc82522910"/>
      <w:r w:rsidRPr="009A42A1">
        <w:rPr>
          <w:rtl/>
        </w:rPr>
        <w:t>أهداف القراءة</w:t>
      </w:r>
      <w:bookmarkEnd w:id="2"/>
    </w:p>
    <w:tbl>
      <w:tblPr>
        <w:tblpPr w:leftFromText="180" w:rightFromText="180" w:vertAnchor="text" w:horzAnchor="margin" w:tblpXSpec="center" w:tblpY="117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0"/>
      </w:tblGrid>
      <w:tr w:rsidR="008A711B" w:rsidRPr="00BD3F40" w:rsidTr="00FF2B19">
        <w:trPr>
          <w:trHeight w:val="510"/>
        </w:trPr>
        <w:tc>
          <w:tcPr>
            <w:tcW w:w="1800" w:type="dxa"/>
            <w:shd w:val="clear" w:color="auto" w:fill="auto"/>
          </w:tcPr>
          <w:p w:rsidR="008A711B" w:rsidRPr="00BD3F40" w:rsidRDefault="008A711B" w:rsidP="00FF2B19">
            <w:pPr>
              <w:tabs>
                <w:tab w:val="left" w:leader="dot" w:pos="9785"/>
              </w:tabs>
              <w:jc w:val="center"/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</w:pPr>
            <w:r w:rsidRPr="00BD3F40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</w:rPr>
              <w:t>عملٌ فرديّ</w:t>
            </w:r>
          </w:p>
        </w:tc>
      </w:tr>
    </w:tbl>
    <w:p w:rsidR="008A711B" w:rsidRDefault="008A711B" w:rsidP="008A711B">
      <w:pPr>
        <w:tabs>
          <w:tab w:val="left" w:leader="dot" w:pos="9785"/>
        </w:tabs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8A711B" w:rsidRDefault="008A711B" w:rsidP="008A711B">
      <w:pPr>
        <w:tabs>
          <w:tab w:val="left" w:leader="dot" w:pos="9785"/>
        </w:tabs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8A711B" w:rsidRPr="009A42A1" w:rsidRDefault="008A711B" w:rsidP="00155FBE">
      <w:pPr>
        <w:tabs>
          <w:tab w:val="left" w:leader="dot" w:pos="9785"/>
        </w:tabs>
        <w:spacing w:after="12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اذكر </w:t>
      </w:r>
      <w:r w:rsidRPr="009A42A1">
        <w:rPr>
          <w:rFonts w:ascii="Simplified Arabic" w:hAnsi="Simplified Arabic" w:cs="Simplified Arabic"/>
          <w:b/>
          <w:bCs/>
          <w:sz w:val="32"/>
          <w:szCs w:val="32"/>
          <w:rtl/>
        </w:rPr>
        <w:t>اسم آخر كتابٍ قرأ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</w:t>
      </w:r>
      <w:r w:rsidRPr="009A42A1">
        <w:rPr>
          <w:rFonts w:ascii="Simplified Arabic" w:hAnsi="Simplified Arabic" w:cs="Simplified Arabic"/>
          <w:b/>
          <w:bCs/>
          <w:sz w:val="32"/>
          <w:szCs w:val="32"/>
          <w:rtl/>
        </w:rPr>
        <w:t>ه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،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ثمّ ا</w:t>
      </w:r>
      <w:r w:rsidRPr="009A42A1">
        <w:rPr>
          <w:rFonts w:ascii="Simplified Arabic" w:hAnsi="Simplified Arabic" w:cs="Simplified Arabic"/>
          <w:b/>
          <w:bCs/>
          <w:sz w:val="32"/>
          <w:szCs w:val="32"/>
          <w:rtl/>
        </w:rPr>
        <w:t>ذكر الهدف من قراءته.</w:t>
      </w:r>
    </w:p>
    <w:p w:rsidR="008A711B" w:rsidRPr="009A42A1" w:rsidRDefault="008A711B" w:rsidP="008A711B">
      <w:pPr>
        <w:shd w:val="clear" w:color="auto" w:fill="B2A1C7"/>
        <w:tabs>
          <w:tab w:val="left" w:pos="2318"/>
        </w:tabs>
        <w:spacing w:after="12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9A42A1">
        <w:rPr>
          <w:rFonts w:ascii="Simplified Arabic" w:hAnsi="Simplified Arabic" w:cs="Simplified Arabic"/>
          <w:b/>
          <w:bCs/>
          <w:sz w:val="32"/>
          <w:szCs w:val="32"/>
          <w:rtl/>
        </w:rPr>
        <w:t>أهداف القراءة</w:t>
      </w:r>
      <w:r w:rsidRPr="009A42A1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C21F6E" w:rsidTr="00C21F6E">
        <w:tc>
          <w:tcPr>
            <w:tcW w:w="1659" w:type="dxa"/>
          </w:tcPr>
          <w:p w:rsidR="00C21F6E" w:rsidRDefault="00C21F6E" w:rsidP="00C21F6E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1</w:t>
            </w:r>
          </w:p>
        </w:tc>
        <w:tc>
          <w:tcPr>
            <w:tcW w:w="1659" w:type="dxa"/>
          </w:tcPr>
          <w:p w:rsidR="00C21F6E" w:rsidRDefault="00C21F6E" w:rsidP="00C21F6E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2</w:t>
            </w:r>
          </w:p>
        </w:tc>
        <w:tc>
          <w:tcPr>
            <w:tcW w:w="1659" w:type="dxa"/>
          </w:tcPr>
          <w:p w:rsidR="00C21F6E" w:rsidRDefault="00C21F6E" w:rsidP="00C21F6E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3</w:t>
            </w:r>
          </w:p>
        </w:tc>
        <w:tc>
          <w:tcPr>
            <w:tcW w:w="1659" w:type="dxa"/>
          </w:tcPr>
          <w:p w:rsidR="00C21F6E" w:rsidRDefault="00C21F6E" w:rsidP="00C21F6E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4</w:t>
            </w:r>
          </w:p>
        </w:tc>
        <w:tc>
          <w:tcPr>
            <w:tcW w:w="1660" w:type="dxa"/>
          </w:tcPr>
          <w:p w:rsidR="00C21F6E" w:rsidRDefault="00C21F6E" w:rsidP="00C21F6E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5</w:t>
            </w:r>
          </w:p>
        </w:tc>
      </w:tr>
    </w:tbl>
    <w:p w:rsidR="00C21F6E" w:rsidRPr="00C21F6E" w:rsidRDefault="00C21F6E" w:rsidP="00C21F6E">
      <w:p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</w:p>
    <w:p w:rsidR="008A711B" w:rsidRPr="007A3B22" w:rsidRDefault="008A711B" w:rsidP="008A711B">
      <w:pPr>
        <w:numPr>
          <w:ilvl w:val="0"/>
          <w:numId w:val="5"/>
        </w:num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 w:rsidRPr="007A3B22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البناءُ الفكريُّ الثقافيُّ</w:t>
      </w:r>
      <w:r w:rsidRPr="007A3B22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 xml:space="preserve"> وتوسيع قاعدة الفهم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</w:t>
      </w:r>
      <w:r w:rsidRPr="007A3B22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من خلال اختيار الكتب ذات المستوى 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العالي</w:t>
      </w:r>
      <w:r w:rsidRPr="007A3B22">
        <w:rPr>
          <w:rFonts w:ascii="Simplified Arabic" w:hAnsi="Simplified Arabic" w:cs="Simplified Arabic"/>
          <w:sz w:val="32"/>
          <w:szCs w:val="32"/>
          <w:rtl/>
          <w:lang w:bidi="ar-LB"/>
        </w:rPr>
        <w:t>، فيبذل القارئ الجهد مستعينًا بقو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7A3B22">
        <w:rPr>
          <w:rFonts w:ascii="Simplified Arabic" w:hAnsi="Simplified Arabic" w:cs="Simplified Arabic"/>
          <w:sz w:val="32"/>
          <w:szCs w:val="32"/>
          <w:rtl/>
          <w:lang w:bidi="ar-LB"/>
        </w:rPr>
        <w:t>ة ذهنه فقط، ويزيد بذلك مقدرته الذهنيّة تدريجيًّا للترق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7A3B22">
        <w:rPr>
          <w:rFonts w:ascii="Simplified Arabic" w:hAnsi="Simplified Arabic" w:cs="Simplified Arabic"/>
          <w:sz w:val="32"/>
          <w:szCs w:val="32"/>
          <w:rtl/>
          <w:lang w:bidi="ar-LB"/>
        </w:rPr>
        <w:t>ي من حالات الفهم الأدنى إلى المراحل القصوى.</w:t>
      </w:r>
    </w:p>
    <w:p w:rsidR="008A711B" w:rsidRDefault="008A711B" w:rsidP="008A711B">
      <w:pPr>
        <w:numPr>
          <w:ilvl w:val="0"/>
          <w:numId w:val="5"/>
        </w:numPr>
        <w:spacing w:after="120"/>
        <w:jc w:val="both"/>
        <w:rPr>
          <w:rFonts w:ascii="Simplified Arabic" w:hAnsi="Simplified Arabic" w:cs="Simplified Arabic"/>
          <w:b/>
          <w:bCs/>
          <w:sz w:val="32"/>
          <w:szCs w:val="32"/>
          <w:lang w:bidi="ar-LB"/>
        </w:rPr>
      </w:pPr>
      <w:r w:rsidRPr="002038BC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الاطّلاعِ على المعلوماتِ وتجديدها: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</w:t>
      </w:r>
      <w:r w:rsidRPr="002038BC">
        <w:rPr>
          <w:rFonts w:ascii="Simplified Arabic" w:hAnsi="Simplified Arabic" w:cs="Simplified Arabic"/>
          <w:sz w:val="32"/>
          <w:szCs w:val="32"/>
          <w:rtl/>
          <w:lang w:bidi="ar-LB"/>
        </w:rPr>
        <w:t>القراءةُ إحدى وسائل الاطّلاعِ على ما يجري حولَنا؛ حت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2038BC">
        <w:rPr>
          <w:rFonts w:ascii="Simplified Arabic" w:hAnsi="Simplified Arabic" w:cs="Simplified Arabic"/>
          <w:sz w:val="32"/>
          <w:szCs w:val="32"/>
          <w:rtl/>
          <w:lang w:bidi="ar-LB"/>
        </w:rPr>
        <w:t>ى لا تتدهور معارفنا</w:t>
      </w:r>
      <w:r w:rsidRPr="002038BC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.</w:t>
      </w:r>
    </w:p>
    <w:p w:rsidR="008A711B" w:rsidRPr="002038BC" w:rsidRDefault="008A711B" w:rsidP="008A711B">
      <w:pPr>
        <w:numPr>
          <w:ilvl w:val="0"/>
          <w:numId w:val="5"/>
        </w:numPr>
        <w:spacing w:after="12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  <w:r w:rsidRPr="002038BC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التمتّع بصحةٍ</w:t>
      </w:r>
      <w:r w:rsidRPr="002038BC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 xml:space="preserve"> </w:t>
      </w:r>
      <w:r w:rsidRPr="002038BC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جيّدة</w:t>
      </w:r>
      <w:r w:rsidRPr="002038BC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 xml:space="preserve"> و</w:t>
      </w:r>
      <w:r w:rsidRPr="002038BC">
        <w:rPr>
          <w:rFonts w:ascii="Simplified Arabic" w:hAnsi="Simplified Arabic" w:cs="Simplified Arabic"/>
          <w:sz w:val="32"/>
          <w:szCs w:val="32"/>
          <w:rtl/>
          <w:lang w:bidi="ar-LB"/>
        </w:rPr>
        <w:t>حمايةُ النفسِ من الأزماتِ النفسيّةِ وحالاتِ التوتُّرِ والانزواءِ، والحيلولةُ دون التدهورِ الروحيِّ، بما تمنحُه القراءة من لذّةٍ روحيّةٍ.</w:t>
      </w:r>
    </w:p>
    <w:p w:rsidR="008A711B" w:rsidRPr="002038BC" w:rsidRDefault="008A711B" w:rsidP="008A711B">
      <w:pPr>
        <w:numPr>
          <w:ilvl w:val="0"/>
          <w:numId w:val="5"/>
        </w:numPr>
        <w:spacing w:after="12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  <w:r w:rsidRPr="002038BC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الاعتبارُ من تجاربِ الآخرينَ: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</w:t>
      </w:r>
      <w:r w:rsidRPr="002038BC">
        <w:rPr>
          <w:rFonts w:ascii="Simplified Arabic" w:hAnsi="Simplified Arabic" w:cs="Simplified Arabic"/>
          <w:sz w:val="32"/>
          <w:szCs w:val="32"/>
          <w:rtl/>
          <w:lang w:bidi="ar-LB"/>
        </w:rPr>
        <w:t>حيث تقدّم القراءة للإنسان خلاصة فكر من سبقه، وتمدّه بالمعرفة التي أودعوها أوراق كتبهم، وتهبه ال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ا</w:t>
      </w:r>
      <w:r w:rsidRPr="002038BC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ستفادة من تجاربهم. </w:t>
      </w:r>
    </w:p>
    <w:p w:rsidR="008A711B" w:rsidRPr="00E55F27" w:rsidRDefault="008A711B" w:rsidP="00E55F27">
      <w:pPr>
        <w:numPr>
          <w:ilvl w:val="0"/>
          <w:numId w:val="5"/>
        </w:numPr>
        <w:spacing w:after="12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  <w:r w:rsidRPr="009A42A1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lastRenderedPageBreak/>
        <w:t>الترويح عن النفس:</w:t>
      </w:r>
      <w:r w:rsidR="00E55F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LB"/>
        </w:rPr>
        <w:t xml:space="preserve"> </w:t>
      </w:r>
      <w:r w:rsidRPr="00E55F27">
        <w:rPr>
          <w:rFonts w:ascii="Simplified Arabic" w:hAnsi="Simplified Arabic" w:cs="Simplified Arabic"/>
          <w:sz w:val="32"/>
          <w:szCs w:val="32"/>
          <w:rtl/>
          <w:lang w:bidi="ar-LB"/>
        </w:rPr>
        <w:t>يتّجه الكثيرون إلى قراءة القصص والروايات والمسرحيّات والمجلّات</w:t>
      </w:r>
      <w:r w:rsidRPr="00E55F27"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بهدف الترويح عن النفس؛ و</w:t>
      </w:r>
      <w:r w:rsidRPr="00E55F27">
        <w:rPr>
          <w:rFonts w:ascii="Simplified Arabic" w:hAnsi="Simplified Arabic" w:cs="Simplified Arabic"/>
          <w:sz w:val="32"/>
          <w:szCs w:val="32"/>
          <w:rtl/>
          <w:lang w:bidi="ar-LB"/>
        </w:rPr>
        <w:t>هذا النوع من القراءة لا يحتاج إلى أي</w:t>
      </w:r>
      <w:r w:rsidRPr="00E55F27">
        <w:rPr>
          <w:rFonts w:ascii="Simplified Arabic" w:hAnsi="Simplified Arabic" w:cs="Simplified Arabic" w:hint="cs"/>
          <w:sz w:val="32"/>
          <w:szCs w:val="32"/>
          <w:rtl/>
          <w:lang w:bidi="ar-LB"/>
        </w:rPr>
        <w:t>ّ</w:t>
      </w:r>
      <w:r w:rsidRPr="00E55F27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ة مهارة ولا يكلّف جهدًا </w:t>
      </w:r>
      <w:r w:rsidRPr="00E55F27"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ذهنيّاً </w:t>
      </w:r>
      <w:r w:rsidRPr="00E55F27">
        <w:rPr>
          <w:rFonts w:ascii="Simplified Arabic" w:hAnsi="Simplified Arabic" w:cs="Simplified Arabic"/>
          <w:sz w:val="32"/>
          <w:szCs w:val="32"/>
          <w:rtl/>
          <w:lang w:bidi="ar-LB"/>
        </w:rPr>
        <w:t>ي</w:t>
      </w:r>
      <w:r w:rsidR="00755FE2" w:rsidRPr="00E55F27">
        <w:rPr>
          <w:rFonts w:ascii="Simplified Arabic" w:hAnsi="Simplified Arabic" w:cs="Simplified Arabic" w:hint="cs"/>
          <w:sz w:val="32"/>
          <w:szCs w:val="32"/>
          <w:rtl/>
          <w:lang w:bidi="ar-LB"/>
        </w:rPr>
        <w:t>ُ</w:t>
      </w:r>
      <w:r w:rsidRPr="00E55F27">
        <w:rPr>
          <w:rFonts w:ascii="Simplified Arabic" w:hAnsi="Simplified Arabic" w:cs="Simplified Arabic"/>
          <w:sz w:val="32"/>
          <w:szCs w:val="32"/>
          <w:rtl/>
          <w:lang w:bidi="ar-LB"/>
        </w:rPr>
        <w:t>ذكر.</w:t>
      </w:r>
    </w:p>
    <w:p w:rsidR="00FF2B19" w:rsidRPr="009A42A1" w:rsidRDefault="00FF2B19" w:rsidP="008A711B">
      <w:pPr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8A711B" w:rsidRPr="00FF2B19" w:rsidRDefault="008A711B" w:rsidP="00755FE2">
      <w:pPr>
        <w:pStyle w:val="Heading3"/>
        <w:rPr>
          <w:rtl/>
        </w:rPr>
      </w:pPr>
      <w:bookmarkStart w:id="3" w:name="_Toc82522911"/>
      <w:r w:rsidRPr="00FF2B19">
        <w:rPr>
          <w:rtl/>
        </w:rPr>
        <w:t>مقوّمات القراءة الناجحة</w:t>
      </w:r>
      <w:bookmarkEnd w:id="3"/>
    </w:p>
    <w:p w:rsidR="008A711B" w:rsidRPr="009A42A1" w:rsidRDefault="008A711B" w:rsidP="008A711B">
      <w:pPr>
        <w:tabs>
          <w:tab w:val="left" w:leader="dot" w:pos="9785"/>
        </w:tabs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8A711B" w:rsidRDefault="008A711B" w:rsidP="000A593B">
      <w:pPr>
        <w:tabs>
          <w:tab w:val="left" w:leader="dot" w:pos="9785"/>
        </w:tabs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0A593B">
        <w:rPr>
          <w:rFonts w:ascii="Simplified Arabic" w:hAnsi="Simplified Arabic" w:cs="Simplified Arabic" w:hint="cs"/>
          <w:b/>
          <w:bCs/>
          <w:sz w:val="32"/>
          <w:szCs w:val="32"/>
          <w:highlight w:val="yellow"/>
          <w:rtl/>
        </w:rPr>
        <w:t>عمل مجموعات</w:t>
      </w:r>
    </w:p>
    <w:p w:rsidR="008A711B" w:rsidRDefault="008A711B" w:rsidP="000A593B">
      <w:pPr>
        <w:tabs>
          <w:tab w:val="left" w:leader="dot" w:pos="9785"/>
        </w:tabs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المجموعة الأولى: تحديد ضوابط اختيار الكتاب المناسب</w:t>
      </w:r>
    </w:p>
    <w:p w:rsidR="008A711B" w:rsidRDefault="008A711B" w:rsidP="000A593B">
      <w:pPr>
        <w:tabs>
          <w:tab w:val="left" w:leader="dot" w:pos="9785"/>
        </w:tabs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المجموعة الثانية: تحديد ضوابط المكان.</w:t>
      </w:r>
    </w:p>
    <w:p w:rsidR="008A711B" w:rsidRDefault="008A711B" w:rsidP="000A593B">
      <w:pPr>
        <w:tabs>
          <w:tab w:val="left" w:leader="dot" w:pos="9785"/>
        </w:tabs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 xml:space="preserve">  المجموعة الثالثة: تحيد ضوابط الزمان.</w:t>
      </w:r>
    </w:p>
    <w:p w:rsidR="00FF2B19" w:rsidRDefault="00FF2B19" w:rsidP="00FF2B19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8A711B" w:rsidRPr="009A42A1" w:rsidRDefault="00155FBE" w:rsidP="00755FE2">
      <w:pPr>
        <w:pStyle w:val="Heading3"/>
        <w:rPr>
          <w:rtl/>
        </w:rPr>
      </w:pPr>
      <w:r>
        <w:rPr>
          <w:rFonts w:hint="cs"/>
          <w:rtl/>
        </w:rPr>
        <w:t xml:space="preserve">             </w:t>
      </w:r>
      <w:r w:rsidRPr="00FF2B19">
        <w:rPr>
          <w:rtl/>
        </w:rPr>
        <w:t>مقوّمات القراءة الناجحة</w:t>
      </w:r>
      <w:r>
        <w:rPr>
          <w:rFonts w:hint="cs"/>
          <w:rtl/>
        </w:rPr>
        <w:t xml:space="preserve">: </w:t>
      </w:r>
      <w:r w:rsidR="008A711B">
        <w:rPr>
          <w:rFonts w:hint="cs"/>
          <w:rtl/>
        </w:rPr>
        <w:t xml:space="preserve">ضوابط </w:t>
      </w:r>
      <w:r w:rsidR="008A711B" w:rsidRPr="009A42A1">
        <w:rPr>
          <w:rtl/>
        </w:rPr>
        <w:t>اختيار الكتاب المناسب</w:t>
      </w:r>
    </w:p>
    <w:p w:rsidR="008A711B" w:rsidRPr="009A42A1" w:rsidRDefault="008A711B" w:rsidP="008A711B">
      <w:pPr>
        <w:numPr>
          <w:ilvl w:val="0"/>
          <w:numId w:val="6"/>
        </w:numPr>
        <w:spacing w:after="12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9A42A1">
        <w:rPr>
          <w:rFonts w:ascii="Simplified Arabic" w:hAnsi="Simplified Arabic" w:cs="Simplified Arabic"/>
          <w:sz w:val="32"/>
          <w:szCs w:val="32"/>
          <w:rtl/>
        </w:rPr>
        <w:t>مراعاة الغرض المتوخّى من القراءة، وذلك باختيار الكتب بطريقةٍ تتناسب معه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8A711B" w:rsidRPr="009A42A1" w:rsidRDefault="008A711B" w:rsidP="008A711B">
      <w:pPr>
        <w:numPr>
          <w:ilvl w:val="0"/>
          <w:numId w:val="6"/>
        </w:numPr>
        <w:spacing w:after="120"/>
        <w:jc w:val="both"/>
        <w:rPr>
          <w:rFonts w:ascii="Simplified Arabic" w:hAnsi="Simplified Arabic" w:cs="Simplified Arabic"/>
          <w:sz w:val="32"/>
          <w:szCs w:val="32"/>
        </w:rPr>
      </w:pPr>
      <w:r w:rsidRPr="009A42A1">
        <w:rPr>
          <w:rFonts w:ascii="Simplified Arabic" w:hAnsi="Simplified Arabic" w:cs="Simplified Arabic"/>
          <w:sz w:val="32"/>
          <w:szCs w:val="32"/>
          <w:rtl/>
        </w:rPr>
        <w:t>طلب ترشيحات لأهم الكتب من أهل الخبرة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8A711B" w:rsidRPr="009A42A1" w:rsidRDefault="008A711B" w:rsidP="008A711B">
      <w:pPr>
        <w:numPr>
          <w:ilvl w:val="0"/>
          <w:numId w:val="6"/>
        </w:numPr>
        <w:spacing w:after="120"/>
        <w:jc w:val="both"/>
        <w:rPr>
          <w:rFonts w:ascii="Simplified Arabic" w:hAnsi="Simplified Arabic" w:cs="Simplified Arabic"/>
          <w:sz w:val="32"/>
          <w:szCs w:val="32"/>
        </w:rPr>
      </w:pPr>
      <w:r w:rsidRPr="009A42A1">
        <w:rPr>
          <w:rFonts w:ascii="Simplified Arabic" w:hAnsi="Simplified Arabic" w:cs="Simplified Arabic"/>
          <w:sz w:val="32"/>
          <w:szCs w:val="32"/>
          <w:rtl/>
        </w:rPr>
        <w:t>قراءة ظهر الغلاف حيث يتمّ أحيانًا وضع مختصرٍ لمحتوى الكتاب أو فقرةٍ من أحد فصوله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8A711B" w:rsidRPr="009A42A1" w:rsidRDefault="008A711B" w:rsidP="008A711B">
      <w:pPr>
        <w:numPr>
          <w:ilvl w:val="0"/>
          <w:numId w:val="6"/>
        </w:numPr>
        <w:spacing w:after="120"/>
        <w:jc w:val="both"/>
        <w:rPr>
          <w:rFonts w:ascii="Simplified Arabic" w:hAnsi="Simplified Arabic" w:cs="Simplified Arabic"/>
          <w:sz w:val="32"/>
          <w:szCs w:val="32"/>
        </w:rPr>
      </w:pPr>
      <w:r w:rsidRPr="009A42A1">
        <w:rPr>
          <w:rFonts w:ascii="Simplified Arabic" w:hAnsi="Simplified Arabic" w:cs="Simplified Arabic"/>
          <w:sz w:val="32"/>
          <w:szCs w:val="32"/>
          <w:rtl/>
        </w:rPr>
        <w:t>مراجعة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فهرس الكتاب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(المحتويات، والمصادر والمراجع)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قبل البدء بمطالعته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8A711B" w:rsidRPr="009A42A1" w:rsidRDefault="008A711B" w:rsidP="008A711B">
      <w:pPr>
        <w:numPr>
          <w:ilvl w:val="0"/>
          <w:numId w:val="6"/>
        </w:numPr>
        <w:spacing w:after="120"/>
        <w:jc w:val="both"/>
        <w:rPr>
          <w:rFonts w:ascii="Simplified Arabic" w:hAnsi="Simplified Arabic" w:cs="Simplified Arabic"/>
          <w:sz w:val="32"/>
          <w:szCs w:val="32"/>
        </w:rPr>
      </w:pPr>
      <w:r w:rsidRPr="009A42A1">
        <w:rPr>
          <w:rFonts w:ascii="Simplified Arabic" w:hAnsi="Simplified Arabic" w:cs="Simplified Arabic"/>
          <w:sz w:val="32"/>
          <w:szCs w:val="32"/>
          <w:rtl/>
        </w:rPr>
        <w:t xml:space="preserve">تصفّح بعض </w:t>
      </w:r>
      <w:r>
        <w:rPr>
          <w:rFonts w:ascii="Simplified Arabic" w:hAnsi="Simplified Arabic" w:cs="Simplified Arabic" w:hint="cs"/>
          <w:sz w:val="32"/>
          <w:szCs w:val="32"/>
          <w:rtl/>
        </w:rPr>
        <w:t>أجزاء الكتاب</w:t>
      </w:r>
      <w:r w:rsidRPr="009A42A1">
        <w:rPr>
          <w:rFonts w:ascii="Simplified Arabic" w:hAnsi="Simplified Arabic" w:cs="Simplified Arabic"/>
          <w:sz w:val="32"/>
          <w:szCs w:val="32"/>
          <w:rtl/>
        </w:rPr>
        <w:t>، وذل</w:t>
      </w:r>
      <w:r>
        <w:rPr>
          <w:rFonts w:ascii="Simplified Arabic" w:hAnsi="Simplified Arabic" w:cs="Simplified Arabic"/>
          <w:sz w:val="32"/>
          <w:szCs w:val="32"/>
          <w:rtl/>
        </w:rPr>
        <w:t>ك للتعرّف على أسلوب الكتاب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ولغته.</w:t>
      </w:r>
    </w:p>
    <w:p w:rsidR="008A711B" w:rsidRDefault="008A711B" w:rsidP="008A711B">
      <w:pPr>
        <w:numPr>
          <w:ilvl w:val="0"/>
          <w:numId w:val="6"/>
        </w:numPr>
        <w:spacing w:after="120"/>
        <w:jc w:val="both"/>
        <w:rPr>
          <w:rFonts w:ascii="Simplified Arabic" w:hAnsi="Simplified Arabic" w:cs="Simplified Arabic"/>
          <w:sz w:val="32"/>
          <w:szCs w:val="32"/>
        </w:rPr>
      </w:pPr>
      <w:r w:rsidRPr="002038BC">
        <w:rPr>
          <w:rFonts w:ascii="Simplified Arabic" w:hAnsi="Simplified Arabic" w:cs="Simplified Arabic"/>
          <w:sz w:val="32"/>
          <w:szCs w:val="32"/>
          <w:rtl/>
        </w:rPr>
        <w:t xml:space="preserve">الرجوع إلى مواقع تقييم الكتب ومطالعة </w:t>
      </w:r>
      <w:r>
        <w:rPr>
          <w:rFonts w:ascii="Simplified Arabic" w:hAnsi="Simplified Arabic" w:cs="Simplified Arabic"/>
          <w:sz w:val="32"/>
          <w:szCs w:val="32"/>
          <w:rtl/>
        </w:rPr>
        <w:t>الآراء المختلفة</w:t>
      </w:r>
      <w:r>
        <w:rPr>
          <w:rFonts w:ascii="Simplified Arabic" w:hAnsi="Simplified Arabic" w:cs="Simplified Arabic" w:hint="cs"/>
          <w:sz w:val="32"/>
          <w:szCs w:val="32"/>
          <w:rtl/>
        </w:rPr>
        <w:t>.</w:t>
      </w:r>
    </w:p>
    <w:p w:rsidR="008A711B" w:rsidRPr="002038BC" w:rsidRDefault="00755FE2" w:rsidP="00755FE2">
      <w:pPr>
        <w:numPr>
          <w:ilvl w:val="0"/>
          <w:numId w:val="6"/>
        </w:numPr>
        <w:spacing w:after="120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 w:hint="cs"/>
          <w:sz w:val="32"/>
          <w:szCs w:val="32"/>
          <w:rtl/>
        </w:rPr>
        <w:t>الالتفات إلى اسم المؤلِّف يساعد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على 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حُسن </w:t>
      </w:r>
      <w:r w:rsidR="008A711B" w:rsidRPr="002038BC">
        <w:rPr>
          <w:rFonts w:ascii="Simplified Arabic" w:hAnsi="Simplified Arabic" w:cs="Simplified Arabic"/>
          <w:sz w:val="32"/>
          <w:szCs w:val="32"/>
          <w:rtl/>
        </w:rPr>
        <w:t>اختيار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الكتاب</w:t>
      </w:r>
      <w:r w:rsidR="008A711B" w:rsidRPr="002038BC">
        <w:rPr>
          <w:rFonts w:ascii="Simplified Arabic" w:hAnsi="Simplified Arabic" w:cs="Simplified Arabic"/>
          <w:sz w:val="32"/>
          <w:szCs w:val="32"/>
          <w:rtl/>
        </w:rPr>
        <w:t>؛ فبعض المؤل</w:t>
      </w:r>
      <w:r w:rsidR="008A711B">
        <w:rPr>
          <w:rFonts w:ascii="Simplified Arabic" w:hAnsi="Simplified Arabic" w:cs="Simplified Arabic" w:hint="cs"/>
          <w:sz w:val="32"/>
          <w:szCs w:val="32"/>
          <w:rtl/>
        </w:rPr>
        <w:t>ّ</w:t>
      </w:r>
      <w:r w:rsidR="008A711B" w:rsidRPr="002038BC">
        <w:rPr>
          <w:rFonts w:ascii="Simplified Arabic" w:hAnsi="Simplified Arabic" w:cs="Simplified Arabic"/>
          <w:sz w:val="32"/>
          <w:szCs w:val="32"/>
          <w:rtl/>
        </w:rPr>
        <w:t>فين المميّزين في الكتابة والمشتهرين بآرائهم الراجحة يكون كتابهم مفضّلًا على غيره.</w:t>
      </w:r>
    </w:p>
    <w:p w:rsidR="008A711B" w:rsidRPr="00AF442F" w:rsidRDefault="00155FBE" w:rsidP="00755FE2">
      <w:pPr>
        <w:pStyle w:val="Heading3"/>
      </w:pPr>
      <w:bookmarkStart w:id="4" w:name="_Toc82522912"/>
      <w:r w:rsidRPr="00FF2B19">
        <w:rPr>
          <w:rtl/>
        </w:rPr>
        <w:t>مقوّمات</w:t>
      </w:r>
      <w:bookmarkStart w:id="5" w:name="_GoBack"/>
      <w:bookmarkEnd w:id="5"/>
      <w:r w:rsidRPr="00FF2B19">
        <w:rPr>
          <w:rtl/>
        </w:rPr>
        <w:t xml:space="preserve"> القراءة الناجحة</w:t>
      </w:r>
      <w:r>
        <w:rPr>
          <w:rFonts w:hint="cs"/>
          <w:rtl/>
        </w:rPr>
        <w:t xml:space="preserve">: </w:t>
      </w:r>
      <w:r w:rsidR="008A711B" w:rsidRPr="00AF442F">
        <w:rPr>
          <w:rFonts w:hint="cs"/>
          <w:rtl/>
        </w:rPr>
        <w:t xml:space="preserve">ضوابط </w:t>
      </w:r>
      <w:r w:rsidR="008A711B" w:rsidRPr="00AF442F">
        <w:rPr>
          <w:rtl/>
        </w:rPr>
        <w:t>اختيار وقت القراءة</w:t>
      </w:r>
      <w:bookmarkEnd w:id="4"/>
    </w:p>
    <w:p w:rsidR="00FF2B19" w:rsidRDefault="008A711B" w:rsidP="00FF2B19">
      <w:pPr>
        <w:pStyle w:val="ListParagraph"/>
        <w:numPr>
          <w:ilvl w:val="0"/>
          <w:numId w:val="8"/>
        </w:numPr>
        <w:bidi/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lastRenderedPageBreak/>
        <w:t xml:space="preserve">اختر ساعة القراءة الذهبيّة، فقد 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وجد الباحثون أنّ لكلّ إنسانٍ ساعةٌ ذهبيّة في يومه يكون فيها في قمّة نشاطه؛ </w:t>
      </w: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>ويجب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عليه استكشاف وقته الخاصّ؛ حيث يكون تحصيله المعرفيّ والفكريّ في أعلى مستوياته.</w:t>
      </w:r>
    </w:p>
    <w:p w:rsidR="00FF2B19" w:rsidRDefault="008A711B" w:rsidP="00FF2B19">
      <w:pPr>
        <w:pStyle w:val="ListParagraph"/>
        <w:numPr>
          <w:ilvl w:val="0"/>
          <w:numId w:val="8"/>
        </w:numPr>
        <w:bidi/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>احذر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من القراءة في أوقات الخمول وانحسار النشاط</w:t>
      </w: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>؛</w:t>
      </w:r>
      <w:r w:rsidR="00FF2B19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لأنّ الاستيعاب فيها قليل.</w:t>
      </w:r>
    </w:p>
    <w:p w:rsidR="00FF2B19" w:rsidRDefault="008A711B" w:rsidP="00FF2B19">
      <w:pPr>
        <w:pStyle w:val="ListParagraph"/>
        <w:numPr>
          <w:ilvl w:val="0"/>
          <w:numId w:val="8"/>
        </w:numPr>
        <w:bidi/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>تجنّب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القراءة بعد الامتلاء من الطعام </w:t>
      </w: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>ف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لا فائدة مرجوة </w:t>
      </w: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>من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>ها؛ إذ يحتاج الدماغ أثناء النشاط العقليّ إلى ال</w:t>
      </w: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>أ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وكسجين المتوفّر في الدم، الذي ينساب بعد تناول الطعام نحو الجهاز الهضميّ أكثر منه </w:t>
      </w: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إلى 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>الدماغ.</w:t>
      </w:r>
    </w:p>
    <w:p w:rsidR="008A711B" w:rsidRPr="00FF2B19" w:rsidRDefault="008A711B" w:rsidP="00FF2B19">
      <w:pPr>
        <w:pStyle w:val="ListParagraph"/>
        <w:numPr>
          <w:ilvl w:val="0"/>
          <w:numId w:val="8"/>
        </w:numPr>
        <w:bidi/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 w:rsidRPr="00FF2B19">
        <w:rPr>
          <w:rFonts w:ascii="Simplified Arabic" w:hAnsi="Simplified Arabic" w:cs="Simplified Arabic" w:hint="cs"/>
          <w:sz w:val="32"/>
          <w:szCs w:val="32"/>
          <w:rtl/>
          <w:lang w:bidi="ar-LB"/>
        </w:rPr>
        <w:t>لا تهمل</w:t>
      </w:r>
      <w:r w:rsidRPr="00FF2B19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القراءة مطلقًا مهما كان الوقت المتوفر ضئيلًا في المدّة والجودة، فما لا يدرك كلّه لا يترك جلّه.</w:t>
      </w:r>
    </w:p>
    <w:p w:rsidR="008A711B" w:rsidRPr="009A42A1" w:rsidRDefault="00155FBE" w:rsidP="00755FE2">
      <w:pPr>
        <w:pStyle w:val="Heading3"/>
        <w:rPr>
          <w:rtl/>
        </w:rPr>
      </w:pPr>
      <w:bookmarkStart w:id="6" w:name="_Toc82518511"/>
      <w:bookmarkStart w:id="7" w:name="_Toc82522913"/>
      <w:r w:rsidRPr="00FF2B19">
        <w:rPr>
          <w:rtl/>
        </w:rPr>
        <w:t>مقوّمات القراءة الناجحة</w:t>
      </w:r>
      <w:r>
        <w:rPr>
          <w:rFonts w:hint="cs"/>
          <w:rtl/>
        </w:rPr>
        <w:t xml:space="preserve">: </w:t>
      </w:r>
      <w:r w:rsidR="008A711B" w:rsidRPr="009A42A1">
        <w:rPr>
          <w:rtl/>
        </w:rPr>
        <w:t>تهيئةُ الجوِّ الملائمِ</w:t>
      </w:r>
      <w:bookmarkEnd w:id="6"/>
      <w:bookmarkEnd w:id="7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C21F6E" w:rsidTr="00C21F6E">
        <w:tc>
          <w:tcPr>
            <w:tcW w:w="2765" w:type="dxa"/>
          </w:tcPr>
          <w:p w:rsidR="00C21F6E" w:rsidRDefault="00C21F6E" w:rsidP="000A593B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1</w:t>
            </w:r>
          </w:p>
        </w:tc>
        <w:tc>
          <w:tcPr>
            <w:tcW w:w="2765" w:type="dxa"/>
          </w:tcPr>
          <w:p w:rsidR="00C21F6E" w:rsidRDefault="00C21F6E" w:rsidP="000A593B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2</w:t>
            </w:r>
          </w:p>
        </w:tc>
        <w:tc>
          <w:tcPr>
            <w:tcW w:w="2766" w:type="dxa"/>
          </w:tcPr>
          <w:p w:rsidR="00C21F6E" w:rsidRDefault="00C21F6E" w:rsidP="000A593B">
            <w:pPr>
              <w:spacing w:after="120"/>
              <w:jc w:val="both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3</w:t>
            </w:r>
          </w:p>
        </w:tc>
      </w:tr>
    </w:tbl>
    <w:p w:rsidR="00C21F6E" w:rsidRDefault="00C21F6E" w:rsidP="000A593B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8A711B" w:rsidRDefault="008A711B" w:rsidP="000A593B">
      <w:p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>
        <w:rPr>
          <w:rFonts w:ascii="Simplified Arabic" w:hAnsi="Simplified Arabic" w:cs="Simplified Arabic"/>
          <w:sz w:val="32"/>
          <w:szCs w:val="32"/>
          <w:rtl/>
          <w:lang w:bidi="ar-LB"/>
        </w:rPr>
        <w:t>إنَّ القارئَ</w:t>
      </w:r>
      <w:r w:rsidR="00E55F27"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لا ينفصلُ -عادةً</w:t>
      </w:r>
      <w:r>
        <w:rPr>
          <w:rFonts w:ascii="Simplified Arabic" w:hAnsi="Simplified Arabic" w:cs="Simplified Arabic"/>
          <w:sz w:val="32"/>
          <w:szCs w:val="32"/>
          <w:rtl/>
          <w:lang w:bidi="ar-LB"/>
        </w:rPr>
        <w:t>-</w:t>
      </w:r>
      <w:r w:rsidR="00E55F27"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في عمليّةِ القراءةِ عن محيطِه، ولا عن إحساسِه بالواقعِ، ولذلك كانت الأجواءُ التي تجري فيها القراءةُ مؤثّ</w:t>
      </w:r>
      <w:r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رةً 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في</w:t>
      </w:r>
      <w:r>
        <w:rPr>
          <w:rFonts w:ascii="Simplified Arabic" w:hAnsi="Simplified Arabic" w:cs="Simplified Arabic"/>
          <w:sz w:val="32"/>
          <w:szCs w:val="32"/>
          <w:rtl/>
          <w:lang w:bidi="ar-LB"/>
        </w:rPr>
        <w:t xml:space="preserve"> درجةِ فهمِه واستيعابِه</w:t>
      </w: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. </w:t>
      </w:r>
    </w:p>
    <w:p w:rsidR="00755FE2" w:rsidRDefault="00755FE2" w:rsidP="000A593B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..............</w:t>
      </w:r>
    </w:p>
    <w:p w:rsidR="008A711B" w:rsidRDefault="008A711B" w:rsidP="000A593B">
      <w:pPr>
        <w:spacing w:after="120"/>
        <w:jc w:val="both"/>
        <w:rPr>
          <w:rFonts w:ascii="Simplified Arabic" w:hAnsi="Simplified Arabic" w:cs="Simplified Arabic"/>
          <w:sz w:val="32"/>
          <w:szCs w:val="32"/>
          <w:lang w:bidi="ar-LB"/>
        </w:rPr>
      </w:pP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الجلسةُ غيرُ المريحةِ والوضعيّةُ غيرُ الصحيحةِ، والمكانُ المظلمُ أو ضعيفُ الإنارةِ، والضجيجُ الذي حولَنا، كلُّها عواملُ تُسهمُ في إفشالِ جهودِ القارئِ ونقصِ الفائدةِ المرجوّةِ.</w:t>
      </w:r>
    </w:p>
    <w:p w:rsidR="00755FE2" w:rsidRPr="009A42A1" w:rsidRDefault="00755FE2" w:rsidP="000A593B">
      <w:pPr>
        <w:spacing w:after="120"/>
        <w:jc w:val="both"/>
        <w:rPr>
          <w:rFonts w:ascii="Simplified Arabic" w:hAnsi="Simplified Arabic" w:cs="Simplified Arabic"/>
          <w:sz w:val="32"/>
          <w:szCs w:val="32"/>
          <w:rtl/>
          <w:lang w:bidi="ar-LB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LB"/>
        </w:rPr>
        <w:t>.............</w:t>
      </w:r>
    </w:p>
    <w:p w:rsidR="00A66FC6" w:rsidRDefault="008A711B" w:rsidP="000A593B"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لذلك لا بُدَّ للقارئِ أنْ يُفكّرَ في الظروفِ المناسبةِ للقراءةِ، ويحاولَ أن يتجنّبَ</w:t>
      </w:r>
      <w:r w:rsidR="00755FE2">
        <w:rPr>
          <w:rFonts w:ascii="Simplified Arabic" w:hAnsi="Simplified Arabic" w:cs="Simplified Arabic" w:hint="cs"/>
          <w:sz w:val="32"/>
          <w:szCs w:val="32"/>
          <w:rtl/>
          <w:lang w:bidi="ar-LB"/>
        </w:rPr>
        <w:t xml:space="preserve"> </w:t>
      </w:r>
      <w:r w:rsidRPr="009A42A1">
        <w:rPr>
          <w:rFonts w:ascii="Simplified Arabic" w:hAnsi="Simplified Arabic" w:cs="Simplified Arabic"/>
          <w:sz w:val="32"/>
          <w:szCs w:val="32"/>
          <w:rtl/>
          <w:lang w:bidi="ar-LB"/>
        </w:rPr>
        <w:t>كلَّ ما من شأنِه أن يُربكَه أو يُشتّتَ ذهنَه أو يُقلّلَ تركيزَه.</w:t>
      </w:r>
    </w:p>
    <w:sectPr w:rsidR="00A66FC6" w:rsidSect="008A711B">
      <w:footerReference w:type="default" r:id="rId7"/>
      <w:pgSz w:w="11906" w:h="16838"/>
      <w:pgMar w:top="81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0DD" w:rsidRDefault="00D120DD" w:rsidP="00A00DCF">
      <w:r>
        <w:separator/>
      </w:r>
    </w:p>
  </w:endnote>
  <w:endnote w:type="continuationSeparator" w:id="0">
    <w:p w:rsidR="00D120DD" w:rsidRDefault="00D120DD" w:rsidP="00A00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992543857"/>
      <w:docPartObj>
        <w:docPartGallery w:val="Page Numbers (Bottom of Page)"/>
        <w:docPartUnique/>
      </w:docPartObj>
    </w:sdtPr>
    <w:sdtEndPr/>
    <w:sdtContent>
      <w:p w:rsidR="00A00DCF" w:rsidRDefault="00A00D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AE7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A00DCF" w:rsidRDefault="00A00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0DD" w:rsidRDefault="00D120DD" w:rsidP="00A00DCF">
      <w:r>
        <w:separator/>
      </w:r>
    </w:p>
  </w:footnote>
  <w:footnote w:type="continuationSeparator" w:id="0">
    <w:p w:rsidR="00D120DD" w:rsidRDefault="00D120DD" w:rsidP="00A00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3499"/>
    <w:multiLevelType w:val="hybridMultilevel"/>
    <w:tmpl w:val="DCA8BF46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9600D"/>
    <w:multiLevelType w:val="hybridMultilevel"/>
    <w:tmpl w:val="5290C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C227B"/>
    <w:multiLevelType w:val="hybridMultilevel"/>
    <w:tmpl w:val="2098C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23D8E"/>
    <w:multiLevelType w:val="hybridMultilevel"/>
    <w:tmpl w:val="35F2019E"/>
    <w:lvl w:ilvl="0" w:tplc="56D4622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A79BF"/>
    <w:multiLevelType w:val="hybridMultilevel"/>
    <w:tmpl w:val="C4A8E4C2"/>
    <w:lvl w:ilvl="0" w:tplc="56D4622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0166F"/>
    <w:multiLevelType w:val="hybridMultilevel"/>
    <w:tmpl w:val="B750F260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7986986">
      <w:numFmt w:val="bullet"/>
      <w:lvlText w:val="-"/>
      <w:lvlJc w:val="left"/>
      <w:pPr>
        <w:ind w:left="1440" w:hanging="360"/>
      </w:pPr>
      <w:rPr>
        <w:rFonts w:ascii="Simplified Arabic" w:eastAsia="Times New Roman" w:hAnsi="Simplified Arabic" w:cs="Simplified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B6E02"/>
    <w:multiLevelType w:val="hybridMultilevel"/>
    <w:tmpl w:val="F5403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91B47"/>
    <w:multiLevelType w:val="hybridMultilevel"/>
    <w:tmpl w:val="B642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266"/>
    <w:rsid w:val="000A593B"/>
    <w:rsid w:val="00155FBE"/>
    <w:rsid w:val="00385AE7"/>
    <w:rsid w:val="004C0A2B"/>
    <w:rsid w:val="00681507"/>
    <w:rsid w:val="00741266"/>
    <w:rsid w:val="00755FE2"/>
    <w:rsid w:val="008A711B"/>
    <w:rsid w:val="009346B4"/>
    <w:rsid w:val="00A00DCF"/>
    <w:rsid w:val="00A03B63"/>
    <w:rsid w:val="00A66FC6"/>
    <w:rsid w:val="00AD7467"/>
    <w:rsid w:val="00C21F6E"/>
    <w:rsid w:val="00C2566E"/>
    <w:rsid w:val="00CF1CD4"/>
    <w:rsid w:val="00D120DD"/>
    <w:rsid w:val="00DC5B7B"/>
    <w:rsid w:val="00E55F27"/>
    <w:rsid w:val="00F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71B16"/>
  <w15:chartTrackingRefBased/>
  <w15:docId w15:val="{AB7F1712-9E72-43BE-86A8-963BDAE12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11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B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FF2B19"/>
    <w:pPr>
      <w:keepNext/>
      <w:shd w:val="clear" w:color="auto" w:fill="C0B2D2"/>
      <w:jc w:val="center"/>
      <w:outlineLvl w:val="1"/>
    </w:pPr>
    <w:rPr>
      <w:rFonts w:ascii="Simplified Arabic" w:hAnsi="Simplified Arabic" w:cs="Simplified Arabic"/>
      <w:b/>
      <w:bCs/>
      <w:color w:val="000000"/>
      <w:sz w:val="32"/>
      <w:szCs w:val="32"/>
      <w:lang w:bidi="ar-LB"/>
    </w:rPr>
  </w:style>
  <w:style w:type="paragraph" w:styleId="Heading3">
    <w:name w:val="heading 3"/>
    <w:basedOn w:val="Normal"/>
    <w:next w:val="Normal"/>
    <w:link w:val="Heading3Char"/>
    <w:autoRedefine/>
    <w:qFormat/>
    <w:rsid w:val="00755FE2"/>
    <w:pPr>
      <w:shd w:val="clear" w:color="auto" w:fill="C0B2D2"/>
      <w:jc w:val="center"/>
      <w:outlineLvl w:val="2"/>
    </w:pPr>
    <w:rPr>
      <w:rFonts w:ascii="Simplified Arabic" w:hAnsi="Simplified Arabic" w:cs="Simplified Arabic"/>
      <w:b/>
      <w:bCs/>
      <w:sz w:val="32"/>
      <w:szCs w:val="32"/>
      <w:lang w:eastAsia="en-US"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F2B19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C0B2D2"/>
      <w:lang w:eastAsia="ar-SA" w:bidi="ar-LB"/>
    </w:rPr>
  </w:style>
  <w:style w:type="character" w:customStyle="1" w:styleId="Heading3Char">
    <w:name w:val="Heading 3 Char"/>
    <w:basedOn w:val="DefaultParagraphFont"/>
    <w:link w:val="Heading3"/>
    <w:rsid w:val="00755FE2"/>
    <w:rPr>
      <w:rFonts w:ascii="Simplified Arabic" w:eastAsia="Times New Roman" w:hAnsi="Simplified Arabic" w:cs="Simplified Arabic"/>
      <w:b/>
      <w:bCs/>
      <w:sz w:val="32"/>
      <w:szCs w:val="32"/>
      <w:shd w:val="clear" w:color="auto" w:fill="C0B2D2"/>
      <w:lang w:bidi="ar-LB"/>
    </w:rPr>
  </w:style>
  <w:style w:type="paragraph" w:styleId="ListParagraph">
    <w:name w:val="List Paragraph"/>
    <w:basedOn w:val="Normal"/>
    <w:uiPriority w:val="34"/>
    <w:qFormat/>
    <w:rsid w:val="008A711B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00DC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0D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00DC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D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FF2B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leGrid">
    <w:name w:val="Table Grid"/>
    <w:basedOn w:val="TableNormal"/>
    <w:uiPriority w:val="39"/>
    <w:rsid w:val="00C21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</cp:lastModifiedBy>
  <cp:revision>12</cp:revision>
  <dcterms:created xsi:type="dcterms:W3CDTF">2022-05-11T10:23:00Z</dcterms:created>
  <dcterms:modified xsi:type="dcterms:W3CDTF">2022-12-09T12:43:00Z</dcterms:modified>
</cp:coreProperties>
</file>